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F4DD4">
        <w:rPr>
          <w:b/>
          <w:bCs/>
          <w:iCs/>
          <w:sz w:val="28"/>
          <w:szCs w:val="28"/>
        </w:rPr>
        <w:t>Lcdo</w:t>
      </w:r>
      <w:bookmarkStart w:id="0" w:name="_GoBack"/>
      <w:bookmarkEnd w:id="0"/>
      <w:r w:rsidRPr="00502564">
        <w:rPr>
          <w:b/>
          <w:bCs/>
          <w:iCs/>
          <w:sz w:val="28"/>
          <w:szCs w:val="28"/>
        </w:rPr>
        <w:t xml:space="preserve">.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9C32EA" w:rsidP="006E1D39">
      <w:pPr>
        <w:spacing w:after="120" w:line="276" w:lineRule="auto"/>
        <w:jc w:val="right"/>
        <w:outlineLvl w:val="0"/>
        <w:rPr>
          <w:rFonts w:ascii="Arial" w:hAnsi="Arial" w:cs="Arial"/>
          <w:sz w:val="18"/>
          <w:szCs w:val="18"/>
        </w:rPr>
      </w:pPr>
      <w:r>
        <w:rPr>
          <w:rFonts w:ascii="Arial" w:hAnsi="Arial" w:cs="Arial"/>
          <w:sz w:val="18"/>
          <w:szCs w:val="18"/>
        </w:rPr>
        <w:t>Los Teques, 05 de Mayo del 2021</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Pr="00C433CD">
        <w:rPr>
          <w:rFonts w:ascii="Arial" w:hAnsi="Arial" w:cs="Arial"/>
          <w:b/>
          <w:i/>
          <w:sz w:val="18"/>
          <w:szCs w:val="18"/>
        </w:rPr>
        <w:t xml:space="preserve">PABLO ANTONIO DA SILVA </w:t>
      </w:r>
      <w:r w:rsidRPr="00C433CD">
        <w:rPr>
          <w:rFonts w:ascii="Arial" w:hAnsi="Arial" w:cs="Arial"/>
          <w:b/>
          <w:bCs/>
          <w:i/>
          <w:sz w:val="18"/>
          <w:szCs w:val="18"/>
        </w:rPr>
        <w:t>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identificado con la cédula de identidad nº </w:t>
      </w:r>
      <w:r w:rsidRPr="00C433CD">
        <w:rPr>
          <w:rFonts w:ascii="Book Antiqua" w:hAnsi="Book Antiqua" w:cs="Open Sans"/>
          <w:b/>
          <w:bCs/>
          <w:i/>
          <w:iCs/>
          <w:sz w:val="18"/>
          <w:szCs w:val="18"/>
        </w:rPr>
        <w:t>V-19.378.241,</w:t>
      </w:r>
      <w:r w:rsidRPr="00C433CD">
        <w:rPr>
          <w:rFonts w:ascii="Arial" w:hAnsi="Arial" w:cs="Arial"/>
          <w:sz w:val="18"/>
          <w:szCs w:val="18"/>
        </w:rPr>
        <w:t xml:space="preserve"> durante el período comprendido desde el </w:t>
      </w:r>
      <w:r w:rsidR="009C32EA">
        <w:rPr>
          <w:rFonts w:ascii="Arial" w:hAnsi="Arial" w:cs="Arial"/>
          <w:sz w:val="18"/>
          <w:szCs w:val="18"/>
        </w:rPr>
        <w:t>01/04/2021 hasta el 30/04/2021</w:t>
      </w:r>
      <w:r w:rsidRPr="00C433CD">
        <w:rPr>
          <w:rFonts w:ascii="Arial" w:hAnsi="Arial" w:cs="Arial"/>
          <w:sz w:val="18"/>
          <w:szCs w:val="18"/>
        </w:rPr>
        <w:t>, presentado en la relación de ingresos adjunta, correspondiente a su activida</w:t>
      </w:r>
      <w:r w:rsidR="009C32EA">
        <w:rPr>
          <w:rFonts w:ascii="Arial" w:hAnsi="Arial" w:cs="Arial"/>
          <w:sz w:val="18"/>
          <w:szCs w:val="18"/>
        </w:rPr>
        <w:t xml:space="preserve">d como Accionista de la firma Inversiones </w:t>
      </w:r>
      <w:proofErr w:type="spellStart"/>
      <w:r w:rsidR="009C32EA">
        <w:rPr>
          <w:rFonts w:ascii="Arial" w:hAnsi="Arial" w:cs="Arial"/>
          <w:sz w:val="18"/>
          <w:szCs w:val="18"/>
        </w:rPr>
        <w:t>Regaleira</w:t>
      </w:r>
      <w:proofErr w:type="spellEnd"/>
      <w:r w:rsidRPr="00C433CD">
        <w:rPr>
          <w:rFonts w:ascii="Arial" w:hAnsi="Arial" w:cs="Arial"/>
          <w:sz w:val="18"/>
          <w:szCs w:val="18"/>
        </w:rPr>
        <w:t>,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para el período del </w:t>
      </w:r>
      <w:r w:rsidR="009C32EA">
        <w:rPr>
          <w:rFonts w:ascii="Arial" w:hAnsi="Arial" w:cs="Arial"/>
          <w:sz w:val="18"/>
          <w:szCs w:val="18"/>
        </w:rPr>
        <w:t>01/04/2021 hasta el 30/04/2021</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desde el </w:t>
      </w:r>
      <w:r w:rsidR="009C32EA">
        <w:rPr>
          <w:rFonts w:ascii="Arial" w:hAnsi="Arial" w:cs="Arial"/>
          <w:sz w:val="18"/>
          <w:szCs w:val="18"/>
        </w:rPr>
        <w:t>01/04/2021 hasta el 30/04/2021</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Pr="00C433CD">
        <w:rPr>
          <w:rFonts w:ascii="Arial" w:hAnsi="Arial" w:cs="Arial"/>
          <w:b/>
          <w:i/>
          <w:sz w:val="18"/>
          <w:szCs w:val="18"/>
        </w:rPr>
        <w:t xml:space="preserve">PABLO ANTONIO DA SILVA </w:t>
      </w:r>
      <w:r w:rsidRPr="00C433CD">
        <w:rPr>
          <w:rFonts w:ascii="Arial" w:hAnsi="Arial" w:cs="Arial"/>
          <w:b/>
          <w:bCs/>
          <w:i/>
          <w:sz w:val="18"/>
          <w:szCs w:val="18"/>
        </w:rPr>
        <w:t>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004526F2">
        <w:rPr>
          <w:rFonts w:ascii="Arial" w:hAnsi="Arial" w:cs="Arial"/>
          <w:sz w:val="18"/>
          <w:szCs w:val="18"/>
        </w:rPr>
        <w:t>.</w:t>
      </w:r>
    </w:p>
    <w:p w:rsidR="00901273" w:rsidRPr="00E7666B" w:rsidRDefault="00901273">
      <w:pPr>
        <w:rPr>
          <w:rFonts w:ascii="Book Antiqua" w:hAnsi="Book Antiqua"/>
          <w:b/>
          <w:bCs/>
          <w:i/>
          <w:iCs/>
          <w:sz w:val="28"/>
          <w:szCs w:val="28"/>
        </w:rPr>
      </w:pPr>
    </w:p>
    <w:p w:rsidR="00AF3FA5" w:rsidRPr="00901273" w:rsidRDefault="00AE67C3">
      <w:pPr>
        <w:jc w:val="center"/>
        <w:rPr>
          <w:rFonts w:ascii="Book Antiqua" w:hAnsi="Book Antiqua" w:cs="Open Sans"/>
          <w:b/>
          <w:bCs/>
          <w:i/>
          <w:iCs/>
        </w:rPr>
      </w:pPr>
      <w:r>
        <w:rPr>
          <w:rFonts w:ascii="Book Antiqua" w:hAnsi="Book Antiqua" w:cs="Open Sans"/>
          <w:b/>
          <w:bCs/>
          <w:i/>
        </w:rPr>
        <w:t>PABLO ANTONIO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9C32EA">
      <w:pPr>
        <w:jc w:val="center"/>
        <w:rPr>
          <w:rFonts w:ascii="Book Antiqua" w:hAnsi="Book Antiqua" w:cs="Open Sans"/>
          <w:b/>
          <w:bCs/>
          <w:i/>
          <w:iCs/>
        </w:rPr>
      </w:pPr>
      <w:r>
        <w:rPr>
          <w:rFonts w:ascii="Book Antiqua" w:hAnsi="Book Antiqua" w:cs="Open Sans"/>
          <w:b/>
          <w:bCs/>
          <w:i/>
          <w:iCs/>
        </w:rPr>
        <w:t>DEL 01/04/2021</w:t>
      </w:r>
      <w:r w:rsidR="00227D8A" w:rsidRPr="00E7666B">
        <w:rPr>
          <w:rFonts w:ascii="Book Antiqua" w:hAnsi="Book Antiqua" w:cs="Open Sans"/>
          <w:b/>
          <w:bCs/>
          <w:i/>
          <w:iCs/>
        </w:rPr>
        <w:t xml:space="preserve"> AL 3</w:t>
      </w:r>
      <w:r>
        <w:rPr>
          <w:rFonts w:ascii="Book Antiqua" w:hAnsi="Book Antiqua" w:cs="Open Sans"/>
          <w:b/>
          <w:bCs/>
          <w:i/>
          <w:iCs/>
        </w:rPr>
        <w:t>0/04/2021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9C32EA" w:rsidP="0015675F">
            <w:pPr>
              <w:numPr>
                <w:ilvl w:val="0"/>
                <w:numId w:val="2"/>
              </w:numPr>
              <w:spacing w:line="276" w:lineRule="auto"/>
              <w:rPr>
                <w:rFonts w:ascii="Book Antiqua" w:hAnsi="Book Antiqua" w:cs="Open Sans"/>
              </w:rPr>
            </w:pPr>
            <w:r>
              <w:rPr>
                <w:rFonts w:ascii="Book Antiqua" w:hAnsi="Book Antiqua" w:cs="Open Sans"/>
              </w:rPr>
              <w:t>Accionista de la empresa</w:t>
            </w:r>
            <w:r w:rsidR="000F0DDD">
              <w:rPr>
                <w:rFonts w:ascii="Book Antiqua" w:hAnsi="Book Antiqua" w:cs="Open Sans"/>
              </w:rPr>
              <w:t>:</w:t>
            </w:r>
          </w:p>
          <w:p w:rsidR="00AD20EF" w:rsidRDefault="00AD20EF" w:rsidP="000F0DDD">
            <w:pPr>
              <w:spacing w:line="276" w:lineRule="auto"/>
              <w:ind w:left="360"/>
              <w:rPr>
                <w:rFonts w:ascii="Book Antiqua" w:hAnsi="Book Antiqua" w:cs="Open Sans"/>
              </w:rPr>
            </w:pPr>
          </w:p>
          <w:p w:rsidR="000F0DDD" w:rsidRDefault="009C32EA" w:rsidP="000F0DDD">
            <w:pPr>
              <w:spacing w:line="276" w:lineRule="auto"/>
              <w:ind w:left="360"/>
              <w:rPr>
                <w:rFonts w:ascii="Book Antiqua" w:hAnsi="Book Antiqua" w:cs="Open Sans"/>
              </w:rPr>
            </w:pPr>
            <w:r>
              <w:rPr>
                <w:rFonts w:ascii="Book Antiqua" w:hAnsi="Book Antiqua" w:cs="Open Sans"/>
              </w:rPr>
              <w:t>INVERSIONES REGALEIRA</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9C32EA" w:rsidP="00FA735A">
            <w:pPr>
              <w:spacing w:line="360" w:lineRule="auto"/>
              <w:jc w:val="center"/>
              <w:rPr>
                <w:rFonts w:ascii="Book Antiqua" w:hAnsi="Book Antiqua" w:cs="Open Sans"/>
              </w:rPr>
            </w:pPr>
            <w:r>
              <w:rPr>
                <w:rFonts w:ascii="Book Antiqua" w:hAnsi="Book Antiqua" w:cs="Open Sans"/>
              </w:rPr>
              <w:t xml:space="preserve"> 300</w:t>
            </w:r>
            <w:r w:rsidR="00C433CD">
              <w:rPr>
                <w:rFonts w:ascii="Book Antiqua" w:hAnsi="Book Antiqua" w:cs="Open Sans"/>
              </w:rPr>
              <w:t>.</w:t>
            </w:r>
            <w:r w:rsidR="00FA735A">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p>
        </w:tc>
        <w:tc>
          <w:tcPr>
            <w:tcW w:w="1560" w:type="dxa"/>
            <w:shd w:val="clear" w:color="auto" w:fill="auto"/>
          </w:tcPr>
          <w:p w:rsidR="00AD20EF" w:rsidRDefault="00AD20EF" w:rsidP="00DD74DF">
            <w:pPr>
              <w:jc w:val="center"/>
              <w:rPr>
                <w:rFonts w:ascii="Book Antiqua" w:hAnsi="Book Antiqua" w:cs="Open Sans"/>
              </w:rPr>
            </w:pPr>
          </w:p>
        </w:tc>
        <w:tc>
          <w:tcPr>
            <w:tcW w:w="1984" w:type="dxa"/>
            <w:shd w:val="clear" w:color="auto" w:fill="auto"/>
          </w:tcPr>
          <w:p w:rsidR="00AD20EF" w:rsidRDefault="00AD20EF" w:rsidP="00FA735A">
            <w:pPr>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r>
      <w:r w:rsidR="009C32EA">
        <w:rPr>
          <w:rFonts w:ascii="Book Antiqua" w:hAnsi="Book Antiqua"/>
          <w:b/>
        </w:rPr>
        <w:tab/>
        <w:t xml:space="preserve">       30</w:t>
      </w:r>
      <w:r w:rsidR="00FA735A">
        <w:rPr>
          <w:rFonts w:ascii="Book Antiqua" w:hAnsi="Book Antiqua"/>
          <w:b/>
        </w:rPr>
        <w:t>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AE67C3" w:rsidP="0015675F">
      <w:pPr>
        <w:jc w:val="center"/>
        <w:rPr>
          <w:rFonts w:ascii="Book Antiqua" w:hAnsi="Book Antiqua" w:cs="Open Sans"/>
          <w:b/>
          <w:bCs/>
          <w:i/>
          <w:iCs/>
        </w:rPr>
      </w:pPr>
      <w:r>
        <w:rPr>
          <w:rFonts w:ascii="Book Antiqua" w:hAnsi="Book Antiqua" w:cs="Open Sans"/>
          <w:b/>
          <w:bCs/>
          <w:i/>
          <w:iCs/>
        </w:rPr>
        <w:t>PABLO ANTONIO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AE67C3">
        <w:rPr>
          <w:rFonts w:ascii="Book Antiqua" w:hAnsi="Book Antiqua" w:cs="Open Sans"/>
          <w:b/>
          <w:bCs/>
          <w:i/>
          <w:iCs/>
        </w:rPr>
        <w:t>19.378.241</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9C32EA" w:rsidRDefault="008B03E3" w:rsidP="00E7666B">
      <w:pPr>
        <w:jc w:val="both"/>
        <w:rPr>
          <w:rFonts w:ascii="Book Antiqua" w:hAnsi="Book Antiqua"/>
          <w:b/>
          <w:i/>
          <w:iCs/>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9C32EA">
        <w:rPr>
          <w:rFonts w:ascii="Book Antiqua" w:hAnsi="Book Antiqua"/>
          <w:b/>
          <w:i/>
          <w:iCs/>
        </w:rPr>
        <w:t>30</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C32EA">
        <w:rPr>
          <w:rFonts w:ascii="Calibri" w:hAnsi="Calibri"/>
          <w:i/>
          <w:iCs/>
          <w:sz w:val="22"/>
          <w:szCs w:val="22"/>
        </w:rPr>
        <w:t>10503635</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AE67C3" w:rsidP="00F01A38">
      <w:pPr>
        <w:jc w:val="center"/>
        <w:rPr>
          <w:rFonts w:ascii="Book Antiqua" w:hAnsi="Book Antiqua" w:cs="Open Sans"/>
          <w:b/>
          <w:bCs/>
          <w:i/>
          <w:iCs/>
        </w:rPr>
      </w:pPr>
      <w:r>
        <w:rPr>
          <w:rFonts w:ascii="Book Antiqua" w:hAnsi="Book Antiqua" w:cs="Open Sans"/>
          <w:b/>
          <w:bCs/>
          <w:i/>
        </w:rPr>
        <w:t>PABLO ANTONIO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AE67C3">
        <w:rPr>
          <w:rFonts w:ascii="Book Antiqua" w:hAnsi="Book Antiqua" w:cs="Open Sans"/>
          <w:b/>
          <w:bCs/>
          <w:i/>
          <w:iCs/>
        </w:rPr>
        <w:t>19.378.241</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9C32EA">
        <w:rPr>
          <w:rFonts w:ascii="Book Antiqua" w:hAnsi="Book Antiqua" w:cs="Open Sans"/>
          <w:b/>
          <w:i/>
          <w:iCs/>
        </w:rPr>
        <w:t>eriodo del 01/04/2021</w:t>
      </w:r>
      <w:r w:rsidR="00227D8A" w:rsidRPr="00752562">
        <w:rPr>
          <w:rFonts w:ascii="Book Antiqua" w:hAnsi="Book Antiqua" w:cs="Open Sans"/>
          <w:b/>
          <w:i/>
          <w:iCs/>
        </w:rPr>
        <w:t xml:space="preserve"> al 3</w:t>
      </w:r>
      <w:r w:rsidR="009C32EA">
        <w:rPr>
          <w:rFonts w:ascii="Book Antiqua" w:hAnsi="Book Antiqua" w:cs="Open Sans"/>
          <w:b/>
          <w:i/>
          <w:iCs/>
        </w:rPr>
        <w:t>0/04/2021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AE67C3">
        <w:rPr>
          <w:rFonts w:ascii="Book Antiqua" w:hAnsi="Book Antiqua" w:cs="Open Sans"/>
          <w:b/>
          <w:bCs/>
          <w:i/>
          <w:iCs/>
        </w:rPr>
        <w:t>19.378.241</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9C32EA">
        <w:rPr>
          <w:rFonts w:ascii="Book Antiqua" w:hAnsi="Book Antiqua" w:cs="Open Sans"/>
          <w:i/>
          <w:iCs/>
        </w:rPr>
        <w:t xml:space="preserve"> durante el período 01/04/2021</w:t>
      </w:r>
      <w:r w:rsidR="003D7B19" w:rsidRPr="00752562">
        <w:rPr>
          <w:rFonts w:ascii="Book Antiqua" w:hAnsi="Book Antiqua" w:cs="Open Sans"/>
          <w:i/>
          <w:iCs/>
        </w:rPr>
        <w:t xml:space="preserve"> al 3</w:t>
      </w:r>
      <w:r w:rsidR="009C32EA">
        <w:rPr>
          <w:rFonts w:ascii="Book Antiqua" w:hAnsi="Book Antiqua" w:cs="Open Sans"/>
          <w:i/>
          <w:iCs/>
        </w:rPr>
        <w:t>0/04/2021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AE67C3">
        <w:rPr>
          <w:rFonts w:ascii="Book Antiqua" w:hAnsi="Book Antiqua" w:cs="Open Sans"/>
          <w:b/>
          <w:bCs/>
          <w:i/>
        </w:rPr>
        <w:t>PABLO ANTONIO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AE67C3">
        <w:rPr>
          <w:rFonts w:ascii="Book Antiqua" w:hAnsi="Book Antiqua" w:cs="Open Sans"/>
          <w:b/>
          <w:i/>
          <w:iCs/>
        </w:rPr>
        <w:t>19.378.241</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F93762">
        <w:rPr>
          <w:rFonts w:ascii="Book Antiqua" w:hAnsi="Book Antiqua" w:cs="Open Sans"/>
          <w:i/>
          <w:iCs/>
        </w:rPr>
        <w:t>Accionista de la empresa</w:t>
      </w:r>
      <w:r w:rsidR="003B4CFF" w:rsidRPr="00752562">
        <w:rPr>
          <w:rFonts w:ascii="Book Antiqua" w:hAnsi="Book Antiqua" w:cs="Open Sans"/>
          <w:b/>
          <w:i/>
          <w:iCs/>
        </w:rPr>
        <w:t xml:space="preserve"> </w:t>
      </w:r>
      <w:r w:rsidR="009C32EA">
        <w:rPr>
          <w:rFonts w:ascii="Book Antiqua" w:hAnsi="Book Antiqua" w:cs="Open Sans"/>
          <w:b/>
          <w:i/>
          <w:iCs/>
        </w:rPr>
        <w:t>INVERSIONES REGALEIRA</w:t>
      </w:r>
      <w:r w:rsidR="00AD20EF">
        <w:rPr>
          <w:rFonts w:ascii="Book Antiqua" w:hAnsi="Book Antiqua" w:cs="Open Sans"/>
          <w:b/>
          <w:i/>
        </w:rPr>
        <w:t>,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922"/>
      </w:tblGrid>
      <w:tr w:rsidR="002B73D9" w:rsidRPr="00752562" w:rsidTr="009C32EA">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922"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9C32EA">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9C32EA" w:rsidP="009C32EA">
            <w:pPr>
              <w:spacing w:line="276" w:lineRule="auto"/>
              <w:rPr>
                <w:rFonts w:ascii="Book Antiqua" w:hAnsi="Book Antiqua" w:cs="Open Sans"/>
                <w:i/>
              </w:rPr>
            </w:pPr>
            <w:r>
              <w:rPr>
                <w:rFonts w:ascii="Book Antiqua" w:hAnsi="Book Antiqua" w:cs="Open Sans"/>
                <w:b/>
                <w:i/>
              </w:rPr>
              <w:t xml:space="preserve">     INVERSIONES REGALEIRA</w:t>
            </w:r>
            <w:r w:rsidR="00E74AC9" w:rsidRPr="00752562">
              <w:rPr>
                <w:rFonts w:ascii="Book Antiqua" w:hAnsi="Book Antiqua" w:cs="Open Sans"/>
                <w:b/>
                <w:i/>
              </w:rPr>
              <w:t>,</w:t>
            </w:r>
            <w:r w:rsidR="00FA735A">
              <w:rPr>
                <w:rFonts w:ascii="Book Antiqua" w:hAnsi="Book Antiqua" w:cs="Open Sans"/>
                <w:b/>
                <w:i/>
              </w:rPr>
              <w:t xml:space="preserve"> C.A</w:t>
            </w:r>
            <w:r w:rsidR="00F11FEB">
              <w:rPr>
                <w:rFonts w:ascii="Book Antiqua" w:hAnsi="Book Antiqua" w:cs="Open Sans"/>
                <w:i/>
              </w:rPr>
              <w:t xml:space="preserve">   </w:t>
            </w:r>
            <w:r w:rsidR="00FA735A">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9C32EA" w:rsidP="009C32EA">
            <w:pPr>
              <w:spacing w:line="360" w:lineRule="auto"/>
              <w:rPr>
                <w:rFonts w:ascii="Book Antiqua" w:hAnsi="Book Antiqua" w:cs="Open Sans"/>
                <w:i/>
                <w:sz w:val="22"/>
                <w:szCs w:val="22"/>
              </w:rPr>
            </w:pPr>
            <w:r>
              <w:rPr>
                <w:rFonts w:ascii="Book Antiqua" w:hAnsi="Book Antiqua" w:cs="Open Sans"/>
                <w:i/>
                <w:sz w:val="22"/>
                <w:szCs w:val="22"/>
              </w:rPr>
              <w:t>01/04/2021</w:t>
            </w:r>
            <w:r w:rsidR="0052001D" w:rsidRPr="00752562">
              <w:rPr>
                <w:rFonts w:ascii="Book Antiqua" w:hAnsi="Book Antiqua" w:cs="Open Sans"/>
                <w:i/>
                <w:sz w:val="22"/>
                <w:szCs w:val="22"/>
              </w:rPr>
              <w:t xml:space="preserve"> Al 3</w:t>
            </w:r>
            <w:r>
              <w:rPr>
                <w:rFonts w:ascii="Book Antiqua" w:hAnsi="Book Antiqua" w:cs="Open Sans"/>
                <w:i/>
                <w:sz w:val="22"/>
                <w:szCs w:val="22"/>
              </w:rPr>
              <w:t>0/04/2021</w:t>
            </w:r>
          </w:p>
          <w:p w:rsidR="0052001D" w:rsidRPr="00752562" w:rsidRDefault="0052001D" w:rsidP="00CD6380">
            <w:pPr>
              <w:spacing w:line="360" w:lineRule="auto"/>
              <w:jc w:val="center"/>
              <w:rPr>
                <w:rFonts w:ascii="Book Antiqua" w:hAnsi="Book Antiqua" w:cs="Open Sans"/>
                <w:i/>
                <w:sz w:val="22"/>
                <w:szCs w:val="22"/>
              </w:rPr>
            </w:pPr>
          </w:p>
        </w:tc>
        <w:tc>
          <w:tcPr>
            <w:tcW w:w="1922"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9C32EA" w:rsidP="009C32EA">
            <w:pPr>
              <w:spacing w:line="360" w:lineRule="auto"/>
              <w:jc w:val="center"/>
              <w:rPr>
                <w:rFonts w:ascii="Book Antiqua" w:hAnsi="Book Antiqua" w:cs="Open Sans"/>
                <w:i/>
                <w:sz w:val="22"/>
                <w:szCs w:val="22"/>
              </w:rPr>
            </w:pPr>
            <w:r>
              <w:rPr>
                <w:rFonts w:ascii="Book Antiqua" w:hAnsi="Book Antiqua" w:cs="Open Sans"/>
                <w:i/>
                <w:sz w:val="22"/>
                <w:szCs w:val="22"/>
              </w:rPr>
              <w:t>300</w:t>
            </w:r>
            <w:r w:rsidR="00FA735A">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gridAfter w:val="2"/>
          <w:wAfter w:w="4974"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9C32EA">
              <w:rPr>
                <w:rFonts w:ascii="Book Antiqua" w:hAnsi="Book Antiqua" w:cs="Open Sans"/>
                <w:b/>
                <w:i/>
              </w:rPr>
              <w:t>30</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Pr="00752562" w:rsidRDefault="00477CC7">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r w:rsidR="009C32EA" w:rsidRPr="00752562" w:rsidTr="00AD4983">
        <w:trPr>
          <w:trHeight w:val="255"/>
        </w:trPr>
        <w:tc>
          <w:tcPr>
            <w:tcW w:w="146" w:type="dxa"/>
            <w:tcBorders>
              <w:top w:val="nil"/>
              <w:left w:val="nil"/>
              <w:bottom w:val="nil"/>
              <w:right w:val="nil"/>
            </w:tcBorders>
            <w:shd w:val="clear" w:color="auto" w:fill="auto"/>
            <w:noWrap/>
            <w:vAlign w:val="bottom"/>
          </w:tcPr>
          <w:p w:rsidR="009C32EA" w:rsidRDefault="009C32EA" w:rsidP="00BF5998">
            <w:pPr>
              <w:suppressAutoHyphens w:val="0"/>
              <w:rPr>
                <w:rFonts w:ascii="Arial" w:eastAsia="Times New Roman" w:hAnsi="Arial" w:cs="Arial"/>
                <w:i/>
                <w:sz w:val="20"/>
                <w:szCs w:val="20"/>
                <w:lang w:val="es-VE" w:eastAsia="es-VE"/>
              </w:rPr>
            </w:pPr>
          </w:p>
          <w:p w:rsidR="009C32EA" w:rsidRDefault="009C32EA" w:rsidP="00BF5998">
            <w:pPr>
              <w:suppressAutoHyphens w:val="0"/>
              <w:rPr>
                <w:rFonts w:ascii="Arial" w:eastAsia="Times New Roman" w:hAnsi="Arial" w:cs="Arial"/>
                <w:i/>
                <w:sz w:val="20"/>
                <w:szCs w:val="20"/>
                <w:lang w:val="es-VE" w:eastAsia="es-VE"/>
              </w:rPr>
            </w:pPr>
          </w:p>
          <w:p w:rsidR="009C32EA" w:rsidRDefault="009C32EA" w:rsidP="00BF5998">
            <w:pPr>
              <w:suppressAutoHyphens w:val="0"/>
              <w:rPr>
                <w:rFonts w:ascii="Arial" w:eastAsia="Times New Roman" w:hAnsi="Arial" w:cs="Arial"/>
                <w:i/>
                <w:sz w:val="20"/>
                <w:szCs w:val="20"/>
                <w:lang w:val="es-VE" w:eastAsia="es-VE"/>
              </w:rPr>
            </w:pPr>
          </w:p>
          <w:p w:rsidR="009C32EA" w:rsidRPr="00752562" w:rsidRDefault="009C32EA"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tcPr>
          <w:p w:rsidR="009C32EA" w:rsidRPr="00752562" w:rsidRDefault="009C32EA"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tcPr>
          <w:p w:rsidR="009C32EA" w:rsidRPr="00752562" w:rsidRDefault="009C32EA"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C32EA">
        <w:rPr>
          <w:rFonts w:ascii="Calibri" w:hAnsi="Calibri"/>
          <w:i/>
          <w:iCs/>
          <w:sz w:val="22"/>
          <w:szCs w:val="22"/>
        </w:rPr>
        <w:t>10503635</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9C32EA">
        <w:rPr>
          <w:rFonts w:ascii="Calibri" w:hAnsi="Calibri"/>
          <w:i/>
          <w:iCs/>
          <w:sz w:val="22"/>
          <w:szCs w:val="22"/>
        </w:rPr>
        <w:t>10503635</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15E19"/>
    <w:rsid w:val="000225BF"/>
    <w:rsid w:val="00030D34"/>
    <w:rsid w:val="00037244"/>
    <w:rsid w:val="000434C8"/>
    <w:rsid w:val="00050430"/>
    <w:rsid w:val="000C0633"/>
    <w:rsid w:val="000E5E0F"/>
    <w:rsid w:val="000F0DDD"/>
    <w:rsid w:val="00123FBA"/>
    <w:rsid w:val="001300B0"/>
    <w:rsid w:val="0013595D"/>
    <w:rsid w:val="00143969"/>
    <w:rsid w:val="00147010"/>
    <w:rsid w:val="0015675F"/>
    <w:rsid w:val="00163769"/>
    <w:rsid w:val="001A362B"/>
    <w:rsid w:val="001E10B0"/>
    <w:rsid w:val="001E5523"/>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526F2"/>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D99"/>
    <w:rsid w:val="005542C0"/>
    <w:rsid w:val="00562412"/>
    <w:rsid w:val="005662D3"/>
    <w:rsid w:val="00573469"/>
    <w:rsid w:val="0058397C"/>
    <w:rsid w:val="005907ED"/>
    <w:rsid w:val="005A57D3"/>
    <w:rsid w:val="005A7CC3"/>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87698"/>
    <w:rsid w:val="008B03E3"/>
    <w:rsid w:val="008C442A"/>
    <w:rsid w:val="008C4437"/>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C32EA"/>
    <w:rsid w:val="009E7146"/>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EF4DD4"/>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2021-05-05T19:13:00Z</cp:lastPrinted>
  <dcterms:created xsi:type="dcterms:W3CDTF">2021-05-05T19:05:00Z</dcterms:created>
  <dcterms:modified xsi:type="dcterms:W3CDTF">2021-05-05T19:15:00Z</dcterms:modified>
</cp:coreProperties>
</file>