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564">
        <w:rPr>
          <w:b/>
          <w:bCs/>
          <w:iCs/>
          <w:sz w:val="28"/>
          <w:szCs w:val="28"/>
        </w:rPr>
        <w:t xml:space="preserve">Lic.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0968F2">
        <w:rPr>
          <w:rFonts w:ascii="Arial" w:hAnsi="Arial" w:cs="Arial"/>
        </w:rPr>
        <w:t>26 de septiembre del 2</w:t>
      </w:r>
      <w:r w:rsidR="00240B4B" w:rsidRPr="00B16A81">
        <w:rPr>
          <w:rFonts w:ascii="Arial" w:hAnsi="Arial" w:cs="Arial"/>
        </w:rPr>
        <w:t>017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 xml:space="preserve">Señor: </w:t>
      </w:r>
    </w:p>
    <w:p w:rsidR="00240B4B" w:rsidRPr="00240B4B" w:rsidRDefault="00240B4B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240B4B">
        <w:rPr>
          <w:rFonts w:ascii="Arial" w:hAnsi="Arial" w:cs="Arial"/>
          <w:b/>
          <w:i/>
        </w:rPr>
        <w:t>PABLO ANTONIO DA SILVA PATUDA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tuación financiera al 31 de agosto</w:t>
      </w:r>
      <w:r w:rsidRPr="00240B4B">
        <w:rPr>
          <w:rFonts w:ascii="Arial" w:hAnsi="Arial" w:cs="Arial"/>
        </w:rPr>
        <w:t xml:space="preserve"> de 2017,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0968F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AGOSTO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A16BF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7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0968F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0968F2">
              <w:rPr>
                <w:rFonts w:eastAsia="Times New Roman"/>
                <w:sz w:val="20"/>
                <w:szCs w:val="20"/>
                <w:lang w:val="es-VE" w:eastAsia="es-VE"/>
              </w:rPr>
              <w:t>1.492.141</w:t>
            </w:r>
            <w:r w:rsidR="0079030B" w:rsidRPr="000968F2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1.492.141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 y Terreno, con un área de 1.920 metros cuadrados, Ubicada en El Sector Las Guamas,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Via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Lagunetica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>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0968F2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450.0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00.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937EC1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48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0.0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0510C2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930.0</w:t>
            </w:r>
            <w:r w:rsidR="005D1A76"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1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.8</w:t>
            </w:r>
            <w:r w:rsidR="0079085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181337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.000,00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0968F2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130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8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D3573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2.405.432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.4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D35733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2.405.432</w:t>
            </w:r>
            <w:r w:rsidR="00937EC1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.400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</w:t>
            </w:r>
            <w:r w:rsidR="000510C2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3.466.2</w:t>
            </w:r>
            <w:r w:rsidR="00D35733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32</w:t>
            </w:r>
            <w:r w:rsid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.400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,00</w:t>
            </w:r>
            <w:r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4E1DAE" w:rsidRDefault="000510C2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3.467.724.541</w:t>
            </w:r>
            <w:r w:rsidR="004E1DAE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812708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20.971.562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812708">
              <w:rPr>
                <w:rFonts w:eastAsia="Times New Roman"/>
                <w:b/>
                <w:sz w:val="20"/>
                <w:szCs w:val="20"/>
                <w:lang w:val="es-VE" w:eastAsia="es-VE"/>
              </w:rPr>
              <w:t>20</w:t>
            </w:r>
            <w:r w:rsidR="00937EC1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 w:rsidR="00812708">
              <w:rPr>
                <w:rFonts w:eastAsia="Times New Roman"/>
                <w:b/>
                <w:sz w:val="20"/>
                <w:szCs w:val="20"/>
                <w:lang w:val="es-VE" w:eastAsia="es-VE"/>
              </w:rPr>
              <w:t>971.56</w:t>
            </w:r>
            <w:r w:rsidR="005B630C">
              <w:rPr>
                <w:rFonts w:eastAsia="Times New Roman"/>
                <w:b/>
                <w:sz w:val="20"/>
                <w:szCs w:val="20"/>
                <w:lang w:val="es-VE" w:eastAsia="es-VE"/>
              </w:rPr>
              <w:t>2</w:t>
            </w:r>
            <w:r w:rsidR="00937EC1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812708">
              <w:rPr>
                <w:rFonts w:eastAsia="Times New Roman"/>
                <w:sz w:val="20"/>
                <w:szCs w:val="20"/>
                <w:lang w:val="es-VE" w:eastAsia="es-VE"/>
              </w:rPr>
              <w:t>3.446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812708">
              <w:rPr>
                <w:rFonts w:eastAsia="Times New Roman"/>
                <w:sz w:val="20"/>
                <w:szCs w:val="20"/>
                <w:lang w:val="es-VE" w:eastAsia="es-VE"/>
              </w:rPr>
              <w:t>752.979</w:t>
            </w:r>
            <w:r w:rsidR="00937EC1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812708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3.446</w:t>
            </w:r>
            <w:r w:rsidR="00937EC1" w:rsidRPr="004E1DAE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752.979</w:t>
            </w:r>
            <w:r w:rsidR="00937EC1" w:rsidRPr="004E1DAE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,00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812708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3.467.724.541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812708" w:rsidRDefault="00812708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720FBA">
        <w:rPr>
          <w:rFonts w:ascii="Calibri" w:hAnsi="Calibri"/>
          <w:i/>
          <w:iCs/>
          <w:sz w:val="22"/>
          <w:szCs w:val="22"/>
        </w:rPr>
        <w:t>MI 8282133</w:t>
      </w:r>
    </w:p>
    <w:p w:rsidR="000737E3" w:rsidRPr="00B55632" w:rsidRDefault="006C6EB3" w:rsidP="001936E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897811">
        <w:rPr>
          <w:b/>
          <w:i/>
        </w:rPr>
        <w:t>agosto</w:t>
      </w:r>
      <w:r w:rsidRPr="00452760">
        <w:rPr>
          <w:b/>
          <w:i/>
        </w:rPr>
        <w:t xml:space="preserve"> de 201</w:t>
      </w:r>
      <w:r w:rsidR="00A601DC">
        <w:rPr>
          <w:b/>
          <w:i/>
        </w:rPr>
        <w:t>7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D</w:t>
      </w:r>
      <w:r w:rsidR="00363A67">
        <w:rPr>
          <w:i/>
          <w:iCs/>
          <w:sz w:val="22"/>
          <w:szCs w:val="22"/>
        </w:rPr>
        <w:t>omiciliado</w:t>
      </w:r>
      <w:proofErr w:type="gramStart"/>
      <w:r w:rsidR="00363A67">
        <w:rPr>
          <w:i/>
          <w:iCs/>
          <w:sz w:val="22"/>
          <w:szCs w:val="22"/>
        </w:rPr>
        <w:t xml:space="preserve">: </w:t>
      </w:r>
      <w:r w:rsidR="001509EA" w:rsidRPr="006A0475">
        <w:rPr>
          <w:i/>
          <w:iCs/>
          <w:sz w:val="22"/>
          <w:szCs w:val="22"/>
        </w:rPr>
        <w:t>.</w:t>
      </w:r>
      <w:proofErr w:type="gramEnd"/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  <w:r w:rsidRPr="00B55632">
        <w:rPr>
          <w:i/>
          <w:sz w:val="20"/>
          <w:szCs w:val="20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>
        <w:rPr>
          <w:i/>
          <w:sz w:val="20"/>
          <w:szCs w:val="20"/>
        </w:rPr>
        <w:t xml:space="preserve"> </w:t>
      </w:r>
      <w:r w:rsidR="0062463B">
        <w:rPr>
          <w:i/>
          <w:sz w:val="20"/>
          <w:szCs w:val="20"/>
        </w:rPr>
        <w:t>E</w:t>
      </w:r>
      <w:r w:rsidR="00E23799">
        <w:rPr>
          <w:i/>
          <w:sz w:val="20"/>
          <w:szCs w:val="20"/>
        </w:rPr>
        <w:t xml:space="preserve">l Trabajo de Compilación </w:t>
      </w:r>
      <w:r w:rsidR="0062463B">
        <w:rPr>
          <w:i/>
          <w:sz w:val="20"/>
          <w:szCs w:val="20"/>
        </w:rPr>
        <w:t xml:space="preserve">está </w:t>
      </w:r>
      <w:r w:rsidR="00E23799">
        <w:rPr>
          <w:i/>
          <w:sz w:val="20"/>
          <w:szCs w:val="20"/>
        </w:rPr>
        <w:t>basado en el estado de cuen</w:t>
      </w:r>
      <w:r w:rsidR="008B4CC3">
        <w:rPr>
          <w:i/>
          <w:sz w:val="20"/>
          <w:szCs w:val="20"/>
        </w:rPr>
        <w:t>ta bancari</w:t>
      </w:r>
      <w:r w:rsidR="001509EA">
        <w:rPr>
          <w:i/>
          <w:sz w:val="20"/>
          <w:szCs w:val="20"/>
        </w:rPr>
        <w:t>o</w:t>
      </w:r>
      <w:r w:rsidR="004E1DAE">
        <w:rPr>
          <w:i/>
          <w:sz w:val="20"/>
          <w:szCs w:val="20"/>
        </w:rPr>
        <w:t>s</w:t>
      </w:r>
      <w:r w:rsidR="00B70D39">
        <w:rPr>
          <w:i/>
          <w:sz w:val="20"/>
          <w:szCs w:val="20"/>
        </w:rPr>
        <w:t xml:space="preserve"> </w:t>
      </w:r>
      <w:r w:rsidR="00E916BE">
        <w:rPr>
          <w:i/>
          <w:sz w:val="20"/>
          <w:szCs w:val="20"/>
        </w:rPr>
        <w:t>y</w:t>
      </w:r>
      <w:r w:rsidR="00BA65F7">
        <w:rPr>
          <w:i/>
          <w:sz w:val="20"/>
          <w:szCs w:val="20"/>
        </w:rPr>
        <w:t xml:space="preserve"> </w:t>
      </w:r>
      <w:r w:rsidR="00E23799">
        <w:rPr>
          <w:i/>
          <w:sz w:val="20"/>
          <w:szCs w:val="20"/>
        </w:rPr>
        <w:t xml:space="preserve"> documento</w:t>
      </w:r>
      <w:r w:rsidR="0062463B">
        <w:rPr>
          <w:i/>
          <w:sz w:val="20"/>
          <w:szCs w:val="20"/>
        </w:rPr>
        <w:t>s</w:t>
      </w:r>
      <w:r w:rsidR="00E23799">
        <w:rPr>
          <w:i/>
          <w:sz w:val="20"/>
          <w:szCs w:val="20"/>
        </w:rPr>
        <w:t xml:space="preserve"> de </w:t>
      </w:r>
      <w:r w:rsidR="0062463B">
        <w:rPr>
          <w:i/>
          <w:sz w:val="20"/>
          <w:szCs w:val="20"/>
        </w:rPr>
        <w:t>propiedad de los bienes descritos</w:t>
      </w:r>
      <w:r w:rsidR="007974D3">
        <w:rPr>
          <w:i/>
          <w:sz w:val="20"/>
          <w:szCs w:val="20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  <w:bookmarkStart w:id="0" w:name="_GoBack"/>
      <w:bookmarkEnd w:id="0"/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Av. Los Eucaliptos entre Monte Bello y Los Jardines Quinta Nro. 9-01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6D6778">
        <w:rPr>
          <w:bCs/>
          <w:i/>
          <w:iCs/>
          <w:sz w:val="22"/>
          <w:szCs w:val="22"/>
        </w:rPr>
        <w:t xml:space="preserve">Valor de mercado de (80%)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</w:t>
      </w:r>
      <w:r w:rsidR="001936E8">
        <w:rPr>
          <w:bCs/>
          <w:i/>
          <w:iCs/>
          <w:sz w:val="22"/>
          <w:szCs w:val="22"/>
        </w:rPr>
        <w:t xml:space="preserve"> domicilio en Los Teques Bs. </w:t>
      </w:r>
      <w:r w:rsidR="00390854">
        <w:rPr>
          <w:bCs/>
          <w:i/>
          <w:iCs/>
          <w:sz w:val="22"/>
          <w:szCs w:val="22"/>
        </w:rPr>
        <w:t>25.200</w:t>
      </w:r>
      <w:r w:rsidR="006D6778">
        <w:rPr>
          <w:bCs/>
          <w:i/>
          <w:iCs/>
          <w:sz w:val="22"/>
          <w:szCs w:val="22"/>
        </w:rPr>
        <w:t>.000,00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8E7756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(5</w:t>
      </w:r>
      <w:r w:rsidR="006D6778"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Luncheria</w:t>
      </w:r>
      <w:proofErr w:type="spellEnd"/>
      <w:r>
        <w:rPr>
          <w:bCs/>
          <w:i/>
          <w:iCs/>
          <w:sz w:val="22"/>
          <w:szCs w:val="22"/>
        </w:rPr>
        <w:t xml:space="preserve"> y </w:t>
      </w:r>
      <w:proofErr w:type="spellStart"/>
      <w:r>
        <w:rPr>
          <w:bCs/>
          <w:i/>
          <w:iCs/>
          <w:sz w:val="22"/>
          <w:szCs w:val="22"/>
        </w:rPr>
        <w:t>Panaderia</w:t>
      </w:r>
      <w:proofErr w:type="spellEnd"/>
      <w:r>
        <w:rPr>
          <w:bCs/>
          <w:i/>
          <w:iCs/>
          <w:sz w:val="22"/>
          <w:szCs w:val="22"/>
        </w:rPr>
        <w:t xml:space="preserve"> Roma, </w:t>
      </w:r>
      <w:proofErr w:type="gramStart"/>
      <w:r>
        <w:rPr>
          <w:bCs/>
          <w:i/>
          <w:iCs/>
          <w:sz w:val="22"/>
          <w:szCs w:val="22"/>
        </w:rPr>
        <w:t>C.A</w:t>
      </w:r>
      <w:r w:rsidR="006D6778">
        <w:rPr>
          <w:bCs/>
          <w:i/>
          <w:iCs/>
          <w:sz w:val="22"/>
          <w:szCs w:val="22"/>
        </w:rPr>
        <w:t xml:space="preserve"> ,</w:t>
      </w:r>
      <w:proofErr w:type="gramEnd"/>
      <w:r w:rsidR="006D6778">
        <w:rPr>
          <w:bCs/>
          <w:i/>
          <w:iCs/>
          <w:sz w:val="22"/>
          <w:szCs w:val="22"/>
        </w:rPr>
        <w:t xml:space="preserve"> con domicilio en Los Teques Bs. </w:t>
      </w:r>
      <w:r w:rsidR="00390854">
        <w:rPr>
          <w:bCs/>
          <w:i/>
          <w:iCs/>
          <w:sz w:val="22"/>
          <w:szCs w:val="22"/>
        </w:rPr>
        <w:t>29.505</w:t>
      </w:r>
      <w:r>
        <w:rPr>
          <w:bCs/>
          <w:i/>
          <w:iCs/>
          <w:sz w:val="22"/>
          <w:szCs w:val="22"/>
        </w:rPr>
        <w:t>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y  </w:t>
      </w:r>
      <w:proofErr w:type="spellStart"/>
      <w:r w:rsidR="008E7756">
        <w:rPr>
          <w:bCs/>
          <w:i/>
          <w:iCs/>
          <w:sz w:val="22"/>
          <w:szCs w:val="22"/>
        </w:rPr>
        <w:t>Pasteleria</w:t>
      </w:r>
      <w:proofErr w:type="spellEnd"/>
      <w:r w:rsidR="008E7756">
        <w:rPr>
          <w:bCs/>
          <w:i/>
          <w:iCs/>
          <w:sz w:val="22"/>
          <w:szCs w:val="22"/>
        </w:rPr>
        <w:t xml:space="preserve"> </w:t>
      </w:r>
      <w:proofErr w:type="spellStart"/>
      <w:r w:rsidR="008E7756">
        <w:rPr>
          <w:bCs/>
          <w:i/>
          <w:iCs/>
          <w:sz w:val="22"/>
          <w:szCs w:val="22"/>
        </w:rPr>
        <w:t>Bermupan</w:t>
      </w:r>
      <w:proofErr w:type="spellEnd"/>
      <w:r w:rsidR="008E7756">
        <w:rPr>
          <w:bCs/>
          <w:i/>
          <w:iCs/>
          <w:sz w:val="22"/>
          <w:szCs w:val="22"/>
        </w:rPr>
        <w:t>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390854">
        <w:rPr>
          <w:bCs/>
          <w:i/>
          <w:iCs/>
          <w:sz w:val="22"/>
          <w:szCs w:val="22"/>
        </w:rPr>
        <w:t>196.875</w:t>
      </w:r>
      <w:r w:rsidR="008E7756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Panaderia</w:t>
      </w:r>
      <w:proofErr w:type="spellEnd"/>
      <w:r w:rsidR="00CC2D5A">
        <w:rPr>
          <w:bCs/>
          <w:i/>
          <w:iCs/>
          <w:sz w:val="22"/>
          <w:szCs w:val="22"/>
        </w:rPr>
        <w:t xml:space="preserve">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390854">
        <w:rPr>
          <w:bCs/>
          <w:i/>
          <w:iCs/>
          <w:sz w:val="22"/>
          <w:szCs w:val="22"/>
        </w:rPr>
        <w:t>174.300</w:t>
      </w:r>
      <w:r w:rsidR="006D6778">
        <w:rPr>
          <w:bCs/>
          <w:i/>
          <w:iCs/>
          <w:sz w:val="22"/>
          <w:szCs w:val="22"/>
        </w:rPr>
        <w:t>.000,00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720FBA">
        <w:rPr>
          <w:rFonts w:ascii="Calibri" w:hAnsi="Calibri"/>
          <w:i/>
          <w:iCs/>
          <w:sz w:val="22"/>
          <w:szCs w:val="22"/>
        </w:rPr>
        <w:t>8282133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Tipografia</w:t>
      </w:r>
      <w:proofErr w:type="spellEnd"/>
      <w:r w:rsidR="00CC2D5A">
        <w:rPr>
          <w:bCs/>
          <w:i/>
          <w:iCs/>
          <w:sz w:val="22"/>
          <w:szCs w:val="22"/>
        </w:rPr>
        <w:t xml:space="preserve"> La Nueva </w:t>
      </w:r>
      <w:proofErr w:type="spellStart"/>
      <w:r w:rsidR="00CC2D5A">
        <w:rPr>
          <w:bCs/>
          <w:i/>
          <w:iCs/>
          <w:sz w:val="22"/>
          <w:szCs w:val="22"/>
        </w:rPr>
        <w:t>Vision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390854">
        <w:rPr>
          <w:bCs/>
          <w:i/>
          <w:iCs/>
          <w:sz w:val="22"/>
          <w:szCs w:val="22"/>
        </w:rPr>
        <w:t>5.985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390854">
        <w:rPr>
          <w:bCs/>
          <w:i/>
          <w:iCs/>
          <w:sz w:val="22"/>
          <w:szCs w:val="22"/>
        </w:rPr>
        <w:t>168.000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390854">
        <w:rPr>
          <w:bCs/>
          <w:i/>
          <w:iCs/>
          <w:sz w:val="22"/>
          <w:szCs w:val="22"/>
        </w:rPr>
        <w:t>190.005</w:t>
      </w:r>
      <w:r w:rsidR="00CC2D5A">
        <w:rPr>
          <w:bCs/>
          <w:i/>
          <w:iCs/>
          <w:sz w:val="22"/>
          <w:szCs w:val="22"/>
        </w:rPr>
        <w:t>.000,00.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Super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proofErr w:type="spellStart"/>
      <w:r w:rsidR="00CC2D5A">
        <w:rPr>
          <w:bCs/>
          <w:i/>
          <w:iCs/>
          <w:sz w:val="22"/>
          <w:szCs w:val="22"/>
        </w:rPr>
        <w:t>Lider</w:t>
      </w:r>
      <w:proofErr w:type="spellEnd"/>
      <w:r w:rsidR="00CC2D5A">
        <w:rPr>
          <w:bCs/>
          <w:i/>
          <w:iCs/>
          <w:sz w:val="22"/>
          <w:szCs w:val="22"/>
        </w:rPr>
        <w:t xml:space="preserve">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390854">
        <w:rPr>
          <w:bCs/>
          <w:i/>
          <w:iCs/>
          <w:sz w:val="22"/>
          <w:szCs w:val="22"/>
        </w:rPr>
        <w:t>316.050</w:t>
      </w:r>
      <w:r w:rsidR="0044633E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390854">
        <w:rPr>
          <w:bCs/>
          <w:i/>
          <w:iCs/>
          <w:sz w:val="22"/>
          <w:szCs w:val="22"/>
        </w:rPr>
        <w:t>173.250</w:t>
      </w:r>
      <w:r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936E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(60</w:t>
      </w:r>
      <w:r w:rsidR="00B21239">
        <w:rPr>
          <w:bCs/>
          <w:i/>
          <w:iCs/>
          <w:sz w:val="22"/>
          <w:szCs w:val="22"/>
        </w:rPr>
        <w:t>%) de participación, en la empresa den</w:t>
      </w:r>
      <w:r>
        <w:rPr>
          <w:bCs/>
          <w:i/>
          <w:iCs/>
          <w:sz w:val="22"/>
          <w:szCs w:val="22"/>
        </w:rPr>
        <w:t xml:space="preserve">ominada 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2707, </w:t>
      </w:r>
      <w:r w:rsidR="00B21239">
        <w:rPr>
          <w:bCs/>
          <w:i/>
          <w:iCs/>
          <w:sz w:val="22"/>
          <w:szCs w:val="22"/>
        </w:rPr>
        <w:t>C.A, con domicilio en Los Teques Bs</w:t>
      </w:r>
      <w:r>
        <w:rPr>
          <w:bCs/>
          <w:i/>
          <w:iCs/>
          <w:sz w:val="22"/>
          <w:szCs w:val="22"/>
        </w:rPr>
        <w:t xml:space="preserve">. </w:t>
      </w:r>
      <w:r w:rsidR="00390854">
        <w:rPr>
          <w:bCs/>
          <w:i/>
          <w:iCs/>
          <w:sz w:val="22"/>
          <w:szCs w:val="22"/>
        </w:rPr>
        <w:t>478.937.4</w:t>
      </w:r>
      <w:r>
        <w:rPr>
          <w:bCs/>
          <w:i/>
          <w:iCs/>
          <w:sz w:val="22"/>
          <w:szCs w:val="22"/>
        </w:rPr>
        <w:t>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Super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Lider</w:t>
      </w:r>
      <w:proofErr w:type="spellEnd"/>
      <w:r>
        <w:rPr>
          <w:bCs/>
          <w:i/>
          <w:iCs/>
          <w:sz w:val="22"/>
          <w:szCs w:val="22"/>
        </w:rPr>
        <w:t xml:space="preserve"> Charallave C.A, con </w:t>
      </w:r>
      <w:r w:rsidR="00390854">
        <w:rPr>
          <w:bCs/>
          <w:i/>
          <w:iCs/>
          <w:sz w:val="22"/>
          <w:szCs w:val="22"/>
        </w:rPr>
        <w:t>domicilio en Charallave  Bs. 252</w:t>
      </w:r>
      <w:r>
        <w:rPr>
          <w:bCs/>
          <w:i/>
          <w:iCs/>
          <w:sz w:val="22"/>
          <w:szCs w:val="22"/>
        </w:rPr>
        <w:t>.000.000,00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390854">
        <w:rPr>
          <w:bCs/>
          <w:i/>
          <w:iCs/>
          <w:sz w:val="22"/>
          <w:szCs w:val="22"/>
        </w:rPr>
        <w:t>omicilio en Los Teques Bs. 25.72</w:t>
      </w:r>
      <w:r>
        <w:rPr>
          <w:bCs/>
          <w:i/>
          <w:iCs/>
          <w:sz w:val="22"/>
          <w:szCs w:val="22"/>
        </w:rPr>
        <w:t>5.000,00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(10%)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Fogo</w:t>
      </w:r>
      <w:proofErr w:type="spellEnd"/>
      <w:r>
        <w:rPr>
          <w:bCs/>
          <w:i/>
          <w:iCs/>
          <w:sz w:val="22"/>
          <w:szCs w:val="22"/>
        </w:rPr>
        <w:t xml:space="preserve"> de Chao </w:t>
      </w:r>
      <w:proofErr w:type="spellStart"/>
      <w:r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 C.A, con</w:t>
      </w:r>
      <w:r w:rsidR="00390854">
        <w:rPr>
          <w:bCs/>
          <w:i/>
          <w:iCs/>
          <w:sz w:val="22"/>
          <w:szCs w:val="22"/>
        </w:rPr>
        <w:t xml:space="preserve"> domicilio en Los Teques Bs. 3.1</w:t>
      </w:r>
      <w:r>
        <w:rPr>
          <w:bCs/>
          <w:i/>
          <w:iCs/>
          <w:sz w:val="22"/>
          <w:szCs w:val="22"/>
        </w:rPr>
        <w:t>50.000,00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EC7028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EC7028">
        <w:rPr>
          <w:bCs/>
          <w:i/>
          <w:iCs/>
          <w:sz w:val="22"/>
          <w:szCs w:val="22"/>
        </w:rPr>
        <w:t xml:space="preserve">Samba y Sushi </w:t>
      </w:r>
      <w:proofErr w:type="spellStart"/>
      <w:r w:rsidR="00EC7028"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C.A, con do</w:t>
      </w:r>
      <w:r w:rsidR="00390854">
        <w:rPr>
          <w:bCs/>
          <w:i/>
          <w:iCs/>
          <w:sz w:val="22"/>
          <w:szCs w:val="22"/>
        </w:rPr>
        <w:t>micilio en Los Teques Bs. 3.1</w:t>
      </w:r>
      <w:r w:rsidR="00EC7028">
        <w:rPr>
          <w:bCs/>
          <w:i/>
          <w:iCs/>
          <w:sz w:val="22"/>
          <w:szCs w:val="22"/>
        </w:rPr>
        <w:t>50</w:t>
      </w:r>
      <w:r>
        <w:rPr>
          <w:bCs/>
          <w:i/>
          <w:iCs/>
          <w:sz w:val="22"/>
          <w:szCs w:val="22"/>
        </w:rPr>
        <w:t>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Propietario del Edificio Modelo ubicado avenida </w:t>
      </w:r>
      <w:proofErr w:type="spellStart"/>
      <w:r>
        <w:rPr>
          <w:bCs/>
          <w:i/>
          <w:iCs/>
          <w:sz w:val="22"/>
          <w:szCs w:val="22"/>
        </w:rPr>
        <w:t>vict</w:t>
      </w:r>
      <w:r w:rsidR="00390854">
        <w:rPr>
          <w:bCs/>
          <w:i/>
          <w:iCs/>
          <w:sz w:val="22"/>
          <w:szCs w:val="22"/>
        </w:rPr>
        <w:t>or</w:t>
      </w:r>
      <w:proofErr w:type="spellEnd"/>
      <w:r w:rsidR="00390854">
        <w:rPr>
          <w:bCs/>
          <w:i/>
          <w:iCs/>
          <w:sz w:val="22"/>
          <w:szCs w:val="22"/>
        </w:rPr>
        <w:t xml:space="preserve"> baptista Los Teques.  Bs. 157</w:t>
      </w:r>
      <w:r>
        <w:rPr>
          <w:bCs/>
          <w:i/>
          <w:iCs/>
          <w:sz w:val="22"/>
          <w:szCs w:val="22"/>
        </w:rPr>
        <w:t>.500.000,00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 xml:space="preserve">cal Comercial avenida </w:t>
      </w:r>
      <w:proofErr w:type="spellStart"/>
      <w:r w:rsidR="003B5746">
        <w:rPr>
          <w:bCs/>
          <w:i/>
          <w:iCs/>
          <w:sz w:val="22"/>
          <w:szCs w:val="22"/>
        </w:rPr>
        <w:t>bermudez</w:t>
      </w:r>
      <w:proofErr w:type="spellEnd"/>
      <w:r w:rsidR="003B5746">
        <w:rPr>
          <w:bCs/>
          <w:i/>
          <w:iCs/>
          <w:sz w:val="22"/>
          <w:szCs w:val="22"/>
        </w:rPr>
        <w:t xml:space="preserve">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390854">
        <w:rPr>
          <w:bCs/>
          <w:i/>
          <w:iCs/>
          <w:sz w:val="22"/>
          <w:szCs w:val="22"/>
        </w:rPr>
        <w:t>raguaney Los Teques  Bs. 37.8</w:t>
      </w:r>
      <w:r>
        <w:rPr>
          <w:bCs/>
          <w:i/>
          <w:iCs/>
          <w:sz w:val="22"/>
          <w:szCs w:val="22"/>
        </w:rPr>
        <w:t>00.000,00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Copropietario </w:t>
      </w:r>
      <w:proofErr w:type="spellStart"/>
      <w:r>
        <w:rPr>
          <w:bCs/>
          <w:i/>
          <w:iCs/>
          <w:sz w:val="22"/>
          <w:szCs w:val="22"/>
        </w:rPr>
        <w:t>inmuieble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Oficentr</w:t>
      </w:r>
      <w:r w:rsidR="00390854">
        <w:rPr>
          <w:bCs/>
          <w:i/>
          <w:iCs/>
          <w:sz w:val="22"/>
          <w:szCs w:val="22"/>
        </w:rPr>
        <w:t>o</w:t>
      </w:r>
      <w:proofErr w:type="spellEnd"/>
      <w:r w:rsidR="00390854">
        <w:rPr>
          <w:bCs/>
          <w:i/>
          <w:iCs/>
          <w:sz w:val="22"/>
          <w:szCs w:val="22"/>
        </w:rPr>
        <w:t xml:space="preserve"> La  Hoyada Los Teques  Bs. 168</w:t>
      </w:r>
      <w:r>
        <w:rPr>
          <w:bCs/>
          <w:i/>
          <w:iCs/>
          <w:sz w:val="22"/>
          <w:szCs w:val="22"/>
        </w:rPr>
        <w:t>.000.000,00.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 w:rsidR="00EF01A5">
        <w:rPr>
          <w:b/>
          <w:bCs/>
          <w:i/>
          <w:iCs/>
          <w:sz w:val="22"/>
          <w:szCs w:val="22"/>
        </w:rPr>
        <w:t>orriente:</w:t>
      </w:r>
      <w:r w:rsidR="00EF01A5" w:rsidRPr="00490A3E">
        <w:rPr>
          <w:bCs/>
          <w:i/>
          <w:iCs/>
          <w:sz w:val="22"/>
          <w:szCs w:val="22"/>
        </w:rPr>
        <w:t xml:space="preserve"> </w:t>
      </w:r>
      <w:r w:rsidR="003B5746">
        <w:rPr>
          <w:bCs/>
          <w:i/>
          <w:iCs/>
          <w:sz w:val="22"/>
          <w:szCs w:val="22"/>
        </w:rPr>
        <w:t>Tarjeta de Cré</w:t>
      </w:r>
      <w:r w:rsidR="00490A3E" w:rsidRPr="00490A3E">
        <w:rPr>
          <w:bCs/>
          <w:i/>
          <w:iCs/>
          <w:sz w:val="22"/>
          <w:szCs w:val="22"/>
        </w:rPr>
        <w:t>ditos Bs.</w:t>
      </w:r>
      <w:r w:rsidR="003C0BB5">
        <w:rPr>
          <w:bCs/>
          <w:i/>
          <w:iCs/>
          <w:sz w:val="22"/>
          <w:szCs w:val="22"/>
        </w:rPr>
        <w:t>409.56</w:t>
      </w:r>
      <w:r w:rsidR="00390854">
        <w:rPr>
          <w:bCs/>
          <w:i/>
          <w:iCs/>
          <w:sz w:val="22"/>
          <w:szCs w:val="22"/>
        </w:rPr>
        <w:t>2</w:t>
      </w:r>
      <w:proofErr w:type="gramStart"/>
      <w:r w:rsidR="00390854">
        <w:rPr>
          <w:bCs/>
          <w:i/>
          <w:iCs/>
          <w:sz w:val="22"/>
          <w:szCs w:val="22"/>
        </w:rPr>
        <w:t>,00</w:t>
      </w:r>
      <w:proofErr w:type="gramEnd"/>
      <w:r w:rsidR="00490A3E">
        <w:rPr>
          <w:bCs/>
          <w:i/>
          <w:iCs/>
          <w:sz w:val="22"/>
          <w:szCs w:val="22"/>
        </w:rPr>
        <w:t>.</w:t>
      </w:r>
      <w:r w:rsidR="003B5746">
        <w:rPr>
          <w:bCs/>
          <w:i/>
          <w:iCs/>
          <w:sz w:val="22"/>
          <w:szCs w:val="22"/>
        </w:rPr>
        <w:t xml:space="preserve"> Cré</w:t>
      </w:r>
      <w:r w:rsidR="00390854">
        <w:rPr>
          <w:bCs/>
          <w:i/>
          <w:iCs/>
          <w:sz w:val="22"/>
          <w:szCs w:val="22"/>
        </w:rPr>
        <w:t xml:space="preserve">dito </w:t>
      </w:r>
      <w:proofErr w:type="spellStart"/>
      <w:r w:rsidR="00390854">
        <w:rPr>
          <w:bCs/>
          <w:i/>
          <w:iCs/>
          <w:sz w:val="22"/>
          <w:szCs w:val="22"/>
        </w:rPr>
        <w:t>Agricola</w:t>
      </w:r>
      <w:proofErr w:type="spellEnd"/>
      <w:r w:rsidR="00390854">
        <w:rPr>
          <w:bCs/>
          <w:i/>
          <w:iCs/>
          <w:sz w:val="22"/>
          <w:szCs w:val="22"/>
        </w:rPr>
        <w:t xml:space="preserve"> Bs. 4.10</w:t>
      </w:r>
      <w:r w:rsidR="003B5746">
        <w:rPr>
          <w:bCs/>
          <w:i/>
          <w:iCs/>
          <w:sz w:val="22"/>
          <w:szCs w:val="22"/>
        </w:rPr>
        <w:t>0.000</w:t>
      </w:r>
      <w:proofErr w:type="gramStart"/>
      <w:r w:rsidR="003B5746">
        <w:rPr>
          <w:bCs/>
          <w:i/>
          <w:iCs/>
          <w:sz w:val="22"/>
          <w:szCs w:val="22"/>
        </w:rPr>
        <w:t>,oo</w:t>
      </w:r>
      <w:proofErr w:type="gramEnd"/>
      <w:r w:rsidR="003B5746">
        <w:rPr>
          <w:bCs/>
          <w:i/>
          <w:iCs/>
          <w:sz w:val="22"/>
          <w:szCs w:val="22"/>
        </w:rPr>
        <w:t>, Pré</w:t>
      </w:r>
      <w:r w:rsidR="00490A3E" w:rsidRPr="00490A3E">
        <w:rPr>
          <w:bCs/>
          <w:i/>
          <w:iCs/>
          <w:sz w:val="22"/>
          <w:szCs w:val="22"/>
        </w:rPr>
        <w:t>stamo Comercial Bs</w:t>
      </w:r>
      <w:r w:rsidR="001936E8">
        <w:rPr>
          <w:bCs/>
          <w:i/>
          <w:iCs/>
          <w:sz w:val="22"/>
          <w:szCs w:val="22"/>
        </w:rPr>
        <w:t xml:space="preserve">. </w:t>
      </w:r>
      <w:r w:rsidR="003C0BB5">
        <w:rPr>
          <w:bCs/>
          <w:i/>
          <w:iCs/>
          <w:sz w:val="22"/>
          <w:szCs w:val="22"/>
        </w:rPr>
        <w:t>16.462</w:t>
      </w:r>
      <w:r w:rsidR="00BE45B2">
        <w:rPr>
          <w:bCs/>
          <w:i/>
          <w:iCs/>
          <w:sz w:val="22"/>
          <w:szCs w:val="22"/>
        </w:rPr>
        <w:t>.000</w:t>
      </w:r>
      <w:r w:rsidR="00490A3E" w:rsidRPr="00490A3E">
        <w:rPr>
          <w:bCs/>
          <w:i/>
          <w:iCs/>
          <w:sz w:val="22"/>
          <w:szCs w:val="22"/>
        </w:rPr>
        <w:t>,00</w:t>
      </w:r>
      <w:r w:rsidR="00E66333">
        <w:rPr>
          <w:bCs/>
          <w:i/>
          <w:iCs/>
          <w:sz w:val="22"/>
          <w:szCs w:val="22"/>
        </w:rPr>
        <w:t>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B5239C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720FBA">
        <w:rPr>
          <w:rFonts w:ascii="Calibri" w:hAnsi="Calibri"/>
          <w:i/>
          <w:iCs/>
          <w:sz w:val="22"/>
          <w:szCs w:val="22"/>
        </w:rPr>
        <w:t>8282133</w:t>
      </w:r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510C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5152"/>
    <w:rsid w:val="000B5660"/>
    <w:rsid w:val="00106E20"/>
    <w:rsid w:val="00115009"/>
    <w:rsid w:val="0012713B"/>
    <w:rsid w:val="00145234"/>
    <w:rsid w:val="001509EA"/>
    <w:rsid w:val="00166C61"/>
    <w:rsid w:val="00181337"/>
    <w:rsid w:val="00185F36"/>
    <w:rsid w:val="001936E8"/>
    <w:rsid w:val="001B0970"/>
    <w:rsid w:val="001C1FC7"/>
    <w:rsid w:val="001D076D"/>
    <w:rsid w:val="001E257D"/>
    <w:rsid w:val="001E4742"/>
    <w:rsid w:val="002010BB"/>
    <w:rsid w:val="00220493"/>
    <w:rsid w:val="00240B4B"/>
    <w:rsid w:val="00256C85"/>
    <w:rsid w:val="00271821"/>
    <w:rsid w:val="00281A39"/>
    <w:rsid w:val="00281E77"/>
    <w:rsid w:val="0028315C"/>
    <w:rsid w:val="002A2868"/>
    <w:rsid w:val="002A6983"/>
    <w:rsid w:val="002C0546"/>
    <w:rsid w:val="002C1542"/>
    <w:rsid w:val="002E7DD3"/>
    <w:rsid w:val="002F3B10"/>
    <w:rsid w:val="002F51C2"/>
    <w:rsid w:val="00303907"/>
    <w:rsid w:val="003554B7"/>
    <w:rsid w:val="00356ADC"/>
    <w:rsid w:val="00363A67"/>
    <w:rsid w:val="0038674D"/>
    <w:rsid w:val="00390854"/>
    <w:rsid w:val="003B5746"/>
    <w:rsid w:val="003C0BB5"/>
    <w:rsid w:val="003D07CA"/>
    <w:rsid w:val="003E1416"/>
    <w:rsid w:val="003E4BFC"/>
    <w:rsid w:val="003F23EB"/>
    <w:rsid w:val="00400FFF"/>
    <w:rsid w:val="00436E73"/>
    <w:rsid w:val="0044633E"/>
    <w:rsid w:val="00452760"/>
    <w:rsid w:val="00452EA6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8196D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BC4"/>
    <w:rsid w:val="00741347"/>
    <w:rsid w:val="00743533"/>
    <w:rsid w:val="007724FE"/>
    <w:rsid w:val="0079030B"/>
    <w:rsid w:val="00790855"/>
    <w:rsid w:val="007974D3"/>
    <w:rsid w:val="007A6164"/>
    <w:rsid w:val="007B3437"/>
    <w:rsid w:val="007C0B11"/>
    <w:rsid w:val="007E5C7B"/>
    <w:rsid w:val="00812708"/>
    <w:rsid w:val="00812F9D"/>
    <w:rsid w:val="00826763"/>
    <w:rsid w:val="008301CB"/>
    <w:rsid w:val="00876345"/>
    <w:rsid w:val="00897811"/>
    <w:rsid w:val="008A2E89"/>
    <w:rsid w:val="008A73F2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37DA6"/>
    <w:rsid w:val="00A477C5"/>
    <w:rsid w:val="00A5209E"/>
    <w:rsid w:val="00A601DC"/>
    <w:rsid w:val="00A64F63"/>
    <w:rsid w:val="00A70DB0"/>
    <w:rsid w:val="00AB4B3B"/>
    <w:rsid w:val="00AB50FD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D39"/>
    <w:rsid w:val="00B84B16"/>
    <w:rsid w:val="00B86C0D"/>
    <w:rsid w:val="00B9073F"/>
    <w:rsid w:val="00BA65F7"/>
    <w:rsid w:val="00BC1262"/>
    <w:rsid w:val="00BD3132"/>
    <w:rsid w:val="00BE45B2"/>
    <w:rsid w:val="00C002CE"/>
    <w:rsid w:val="00C01FDE"/>
    <w:rsid w:val="00C22566"/>
    <w:rsid w:val="00C24945"/>
    <w:rsid w:val="00C6013D"/>
    <w:rsid w:val="00C83F5D"/>
    <w:rsid w:val="00C93005"/>
    <w:rsid w:val="00CA31D7"/>
    <w:rsid w:val="00CC1BFF"/>
    <w:rsid w:val="00CC2D5A"/>
    <w:rsid w:val="00CD1FAA"/>
    <w:rsid w:val="00CE0CB0"/>
    <w:rsid w:val="00CE65D6"/>
    <w:rsid w:val="00CF4ED3"/>
    <w:rsid w:val="00D2751C"/>
    <w:rsid w:val="00D35733"/>
    <w:rsid w:val="00D42D28"/>
    <w:rsid w:val="00D45094"/>
    <w:rsid w:val="00D64BA2"/>
    <w:rsid w:val="00D65455"/>
    <w:rsid w:val="00D65B69"/>
    <w:rsid w:val="00D82225"/>
    <w:rsid w:val="00DC2E85"/>
    <w:rsid w:val="00DE5E07"/>
    <w:rsid w:val="00DF64E3"/>
    <w:rsid w:val="00E23799"/>
    <w:rsid w:val="00E42330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A764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F2EB-6166-41AE-9D84-A4BF6DDD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3</cp:revision>
  <cp:lastPrinted>2017-06-29T13:33:00Z</cp:lastPrinted>
  <dcterms:created xsi:type="dcterms:W3CDTF">2017-10-09T13:14:00Z</dcterms:created>
  <dcterms:modified xsi:type="dcterms:W3CDTF">2017-10-09T13:17:00Z</dcterms:modified>
</cp:coreProperties>
</file>